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Pr="00A75118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A75118">
        <w:rPr>
          <w:rFonts w:ascii="Times New Roman" w:hAnsi="Times New Roman"/>
          <w:b w:val="0"/>
          <w:sz w:val="24"/>
          <w:szCs w:val="24"/>
          <w:lang w:val="en-US"/>
        </w:rPr>
        <w:t>21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A75118">
        <w:rPr>
          <w:rFonts w:ascii="Times New Roman" w:hAnsi="Times New Roman"/>
          <w:b w:val="0"/>
          <w:sz w:val="24"/>
          <w:szCs w:val="24"/>
        </w:rPr>
        <w:t>феврал</w:t>
      </w:r>
      <w:r w:rsidR="00A7223D">
        <w:rPr>
          <w:rFonts w:ascii="Times New Roman" w:hAnsi="Times New Roman"/>
          <w:b w:val="0"/>
          <w:sz w:val="24"/>
          <w:szCs w:val="24"/>
        </w:rPr>
        <w:t>я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A75118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A75118">
        <w:rPr>
          <w:rFonts w:ascii="Times New Roman" w:hAnsi="Times New Roman"/>
          <w:b w:val="0"/>
          <w:sz w:val="24"/>
          <w:szCs w:val="24"/>
          <w:lang w:val="en-US"/>
        </w:rPr>
        <w:t>32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383F0A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001631">
        <w:rPr>
          <w:sz w:val="24"/>
          <w:szCs w:val="24"/>
        </w:rPr>
        <w:t>15 августа</w:t>
      </w:r>
      <w:r w:rsidR="00A74FCC">
        <w:rPr>
          <w:sz w:val="24"/>
          <w:szCs w:val="24"/>
        </w:rPr>
        <w:t xml:space="preserve"> 201</w:t>
      </w:r>
      <w:r w:rsidR="008553E7">
        <w:rPr>
          <w:sz w:val="24"/>
          <w:szCs w:val="24"/>
        </w:rPr>
        <w:t>9</w:t>
      </w:r>
      <w:r w:rsidR="00AD38AD">
        <w:rPr>
          <w:sz w:val="24"/>
          <w:szCs w:val="24"/>
        </w:rPr>
        <w:t xml:space="preserve"> года № </w:t>
      </w:r>
      <w:r w:rsidR="00001631">
        <w:rPr>
          <w:sz w:val="24"/>
          <w:szCs w:val="24"/>
        </w:rPr>
        <w:t>9</w:t>
      </w:r>
      <w:r w:rsidR="00A74FCC">
        <w:rPr>
          <w:sz w:val="24"/>
          <w:szCs w:val="24"/>
        </w:rPr>
        <w:t>-1</w:t>
      </w:r>
      <w:r w:rsidR="008553E7">
        <w:rPr>
          <w:sz w:val="24"/>
          <w:szCs w:val="24"/>
        </w:rPr>
        <w:t>9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383F0A" w:rsidRPr="00EC770A">
        <w:rPr>
          <w:sz w:val="24"/>
          <w:szCs w:val="24"/>
        </w:rPr>
        <w:t xml:space="preserve"> </w:t>
      </w:r>
      <w:r w:rsidR="00BE3264" w:rsidRPr="00BE3264">
        <w:rPr>
          <w:sz w:val="24"/>
          <w:szCs w:val="24"/>
        </w:rPr>
        <w:t>только юридических лиц и индивидуальных предпринимателей, которые являются субъектами малого и среднего предпринимательства</w:t>
      </w:r>
      <w:r w:rsidR="00DA1835">
        <w:rPr>
          <w:sz w:val="24"/>
          <w:szCs w:val="24"/>
        </w:rPr>
        <w:t>.</w:t>
      </w:r>
      <w:r w:rsidR="00BE3264" w:rsidRPr="00BE3264">
        <w:rPr>
          <w:sz w:val="24"/>
          <w:szCs w:val="24"/>
        </w:rPr>
        <w:t xml:space="preserve"> </w:t>
      </w:r>
    </w:p>
    <w:p w:rsidR="00DA1835" w:rsidRPr="00C4193C" w:rsidRDefault="00DA1835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</w:t>
            </w:r>
            <w:proofErr w:type="spellStart"/>
            <w:r w:rsidR="00921876" w:rsidRPr="000714C7">
              <w:rPr>
                <w:sz w:val="24"/>
                <w:szCs w:val="24"/>
              </w:rPr>
              <w:t>Саханефтегазсбыт</w:t>
            </w:r>
            <w:proofErr w:type="spellEnd"/>
            <w:r w:rsidR="00921876" w:rsidRPr="000714C7">
              <w:rPr>
                <w:sz w:val="24"/>
                <w:szCs w:val="24"/>
              </w:rPr>
              <w:t>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</w:t>
            </w:r>
            <w:proofErr w:type="spellStart"/>
            <w:r w:rsidR="00921876" w:rsidRPr="000714C7">
              <w:rPr>
                <w:sz w:val="24"/>
                <w:szCs w:val="24"/>
              </w:rPr>
              <w:t>Чиряева</w:t>
            </w:r>
            <w:proofErr w:type="spellEnd"/>
            <w:r w:rsidR="00921876" w:rsidRPr="000714C7">
              <w:rPr>
                <w:sz w:val="24"/>
                <w:szCs w:val="24"/>
              </w:rPr>
              <w:t>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A7511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F01D42" w:rsidRPr="000714C7">
                <w:rPr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E3743A" w:rsidRDefault="00E3743A" w:rsidP="00702BD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Мавлюкаев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Рамильевич</w:t>
            </w:r>
            <w:proofErr w:type="spellEnd"/>
            <w:r>
              <w:rPr>
                <w:sz w:val="24"/>
                <w:szCs w:val="24"/>
              </w:rPr>
              <w:t xml:space="preserve">  8 (4112) </w:t>
            </w:r>
            <w:r w:rsidR="008F1B9F">
              <w:rPr>
                <w:sz w:val="24"/>
                <w:szCs w:val="24"/>
              </w:rPr>
              <w:t>31-85-84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8F1B9F">
              <w:rPr>
                <w:sz w:val="24"/>
                <w:szCs w:val="24"/>
                <w:lang w:eastAsia="ru-RU"/>
              </w:rPr>
              <w:t xml:space="preserve"> доб. 219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>31-89-40, доб. 391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8836F5" w:rsidRPr="00B054B4" w:rsidRDefault="009024F4" w:rsidP="00BE3264">
            <w:pPr>
              <w:pStyle w:val="ab"/>
              <w:widowControl w:val="0"/>
              <w:autoSpaceDE w:val="0"/>
              <w:ind w:left="0"/>
              <w:jc w:val="both"/>
            </w:pPr>
            <w:r w:rsidRPr="009024F4">
              <w:t xml:space="preserve">Поставка </w:t>
            </w:r>
            <w:r w:rsidR="00BE3264" w:rsidRPr="00BE3264">
              <w:t xml:space="preserve">технологического оборудования для АЗС-62 </w:t>
            </w:r>
            <w:proofErr w:type="spellStart"/>
            <w:r w:rsidR="00BE3264" w:rsidRPr="00BE3264">
              <w:t>г.Якутск</w:t>
            </w:r>
            <w:proofErr w:type="spellEnd"/>
            <w:r w:rsidR="00BE3264" w:rsidRPr="00BE3264">
              <w:t xml:space="preserve"> АО «</w:t>
            </w:r>
            <w:proofErr w:type="spellStart"/>
            <w:r w:rsidR="00BE3264" w:rsidRPr="00BE3264">
              <w:t>Саханефтегазсбыт</w:t>
            </w:r>
            <w:proofErr w:type="spellEnd"/>
            <w:r w:rsidR="00BE3264" w:rsidRPr="00BE3264">
              <w:t>» в 2020 году.</w:t>
            </w:r>
          </w:p>
        </w:tc>
      </w:tr>
      <w:tr w:rsidR="00087D83" w:rsidRPr="00C4193C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0016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>наименование с</w:t>
            </w:r>
            <w:r w:rsidR="00001631">
              <w:rPr>
                <w:b/>
                <w:sz w:val="24"/>
                <w:szCs w:val="24"/>
              </w:rPr>
              <w:t>редств связи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2"/>
              <w:gridCol w:w="3260"/>
              <w:gridCol w:w="709"/>
              <w:gridCol w:w="1559"/>
              <w:gridCol w:w="1501"/>
            </w:tblGrid>
            <w:tr w:rsidR="001D2B84" w:rsidRPr="00EE0AE9" w:rsidTr="00B96F75">
              <w:trPr>
                <w:trHeight w:val="652"/>
                <w:jc w:val="center"/>
              </w:trPr>
              <w:tc>
                <w:tcPr>
                  <w:tcW w:w="402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>№ Лота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 xml:space="preserve">Наименование товара </w:t>
                  </w:r>
                </w:p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 xml:space="preserve">и технические характеристики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A3A2B" w:rsidRPr="001D2B84" w:rsidRDefault="004A3A2B" w:rsidP="004A3A2B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 xml:space="preserve">Кол-во, шт.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</w:rPr>
                    <w:t>Цена за ед. товара с НДС, руб.</w:t>
                  </w:r>
                </w:p>
              </w:tc>
              <w:tc>
                <w:tcPr>
                  <w:tcW w:w="1501" w:type="dxa"/>
                </w:tcPr>
                <w:p w:rsidR="004A3A2B" w:rsidRPr="001D2B84" w:rsidRDefault="004A3A2B" w:rsidP="00CB67EA">
                  <w:pPr>
                    <w:spacing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1D2B84">
                    <w:rPr>
                      <w:sz w:val="22"/>
                      <w:szCs w:val="22"/>
                      <w:lang w:eastAsia="ru-RU"/>
                    </w:rPr>
                    <w:t>Сведения о начальной (максимальной) цене договора (лота) с НДС, руб.</w:t>
                  </w:r>
                </w:p>
              </w:tc>
            </w:tr>
            <w:tr w:rsidR="00D67003" w:rsidRPr="00620E81" w:rsidTr="00D67003">
              <w:trPr>
                <w:trHeight w:val="416"/>
                <w:jc w:val="center"/>
              </w:trPr>
              <w:tc>
                <w:tcPr>
                  <w:tcW w:w="402" w:type="dxa"/>
                  <w:vMerge w:val="restart"/>
                  <w:shd w:val="clear" w:color="auto" w:fill="auto"/>
                  <w:vAlign w:val="center"/>
                </w:tcPr>
                <w:p w:rsidR="00D67003" w:rsidRPr="008836F5" w:rsidRDefault="00D67003" w:rsidP="00CB67EA">
                  <w:pPr>
                    <w:jc w:val="center"/>
                    <w:rPr>
                      <w:sz w:val="24"/>
                      <w:szCs w:val="24"/>
                    </w:rPr>
                  </w:pPr>
                  <w:r w:rsidRPr="008836F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67003" w:rsidRPr="00241BF4" w:rsidRDefault="00D67003" w:rsidP="006818D5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Топливораздаточная колонка ТРК </w:t>
                  </w:r>
                  <w:r>
                    <w:rPr>
                      <w:sz w:val="24"/>
                      <w:szCs w:val="24"/>
                      <w:lang w:val="en-US"/>
                    </w:rPr>
                    <w:t>BMP</w:t>
                  </w:r>
                  <w:r w:rsidRPr="00BA14F1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BA14F1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OC</w:t>
                  </w:r>
                  <w:r w:rsidRPr="00241BF4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  <w:lang w:val="en-US"/>
                    </w:rPr>
                    <w:t>TATSUNO</w:t>
                  </w:r>
                  <w:r w:rsidRPr="006E4D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RUS</w:t>
                  </w:r>
                  <w:r w:rsidRPr="006E4D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OCEAN</w:t>
                  </w:r>
                  <w:r w:rsidRPr="00241BF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EUROLINE</w:t>
                  </w:r>
                  <w:r w:rsidRPr="00241BF4">
                    <w:rPr>
                      <w:sz w:val="24"/>
                      <w:szCs w:val="24"/>
                    </w:rPr>
                    <w:t xml:space="preserve">) (2 </w:t>
                  </w:r>
                  <w:r>
                    <w:rPr>
                      <w:sz w:val="24"/>
                      <w:szCs w:val="24"/>
                    </w:rPr>
                    <w:t xml:space="preserve">стороны, 2 продукта, 4 раздаточных крана) напорная гидравлика, стандартная производительность 50 л\мин., пистолеты </w:t>
                  </w:r>
                  <w:r>
                    <w:rPr>
                      <w:sz w:val="24"/>
                      <w:szCs w:val="24"/>
                      <w:lang w:val="en-US"/>
                    </w:rPr>
                    <w:t>ZVA</w:t>
                  </w:r>
                  <w:r>
                    <w:rPr>
                      <w:sz w:val="24"/>
                      <w:szCs w:val="24"/>
                    </w:rPr>
                    <w:t xml:space="preserve">, верхний, нижний декоративные элементы, светодиодная индикация номера ТРК, цвет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стандартный белый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D67003" w:rsidRPr="000D0E3E" w:rsidRDefault="00D67003" w:rsidP="00C756A2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0D0E3E">
                    <w:rPr>
                      <w:sz w:val="24"/>
                      <w:szCs w:val="24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67003" w:rsidRPr="006E4D97" w:rsidRDefault="00D67003" w:rsidP="00C756A2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</w:t>
                  </w:r>
                  <w:r w:rsidRPr="000D0E3E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6E4D97">
                    <w:rPr>
                      <w:sz w:val="24"/>
                      <w:szCs w:val="24"/>
                    </w:rPr>
                    <w:t>000</w:t>
                  </w:r>
                  <w:r w:rsidRPr="000D0E3E">
                    <w:rPr>
                      <w:sz w:val="24"/>
                      <w:szCs w:val="24"/>
                    </w:rPr>
                    <w:t>,</w:t>
                  </w:r>
                  <w:r w:rsidRPr="006E4D97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01" w:type="dxa"/>
                  <w:vAlign w:val="center"/>
                </w:tcPr>
                <w:p w:rsidR="00D67003" w:rsidRPr="006E4D97" w:rsidRDefault="00D67003" w:rsidP="00C756A2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640</w:t>
                  </w:r>
                  <w:r w:rsidRPr="000D0E3E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6E4D97">
                    <w:rPr>
                      <w:sz w:val="24"/>
                      <w:szCs w:val="24"/>
                    </w:rPr>
                    <w:t>000</w:t>
                  </w:r>
                  <w:r w:rsidRPr="000D0E3E">
                    <w:rPr>
                      <w:sz w:val="24"/>
                      <w:szCs w:val="24"/>
                    </w:rPr>
                    <w:t>,</w:t>
                  </w:r>
                  <w:r w:rsidRPr="006E4D97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D67003" w:rsidRPr="00620E81" w:rsidTr="00B96F75">
              <w:trPr>
                <w:trHeight w:val="898"/>
                <w:jc w:val="center"/>
              </w:trPr>
              <w:tc>
                <w:tcPr>
                  <w:tcW w:w="402" w:type="dxa"/>
                  <w:vMerge/>
                  <w:shd w:val="clear" w:color="auto" w:fill="auto"/>
                  <w:vAlign w:val="center"/>
                </w:tcPr>
                <w:p w:rsidR="00D67003" w:rsidRPr="008836F5" w:rsidRDefault="00D67003" w:rsidP="00CB67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67003" w:rsidRPr="000D0E3E" w:rsidRDefault="00D67003" w:rsidP="006818D5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Топливораздаточная колонка ТРК </w:t>
                  </w:r>
                  <w:r>
                    <w:rPr>
                      <w:sz w:val="24"/>
                      <w:szCs w:val="24"/>
                      <w:lang w:val="en-US"/>
                    </w:rPr>
                    <w:t>BMP</w:t>
                  </w:r>
                  <w:r w:rsidRPr="00BA14F1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 xml:space="preserve">48 </w:t>
                  </w:r>
                  <w:r>
                    <w:rPr>
                      <w:sz w:val="24"/>
                      <w:szCs w:val="24"/>
                      <w:lang w:val="en-US"/>
                    </w:rPr>
                    <w:t>OC</w:t>
                  </w:r>
                  <w:r w:rsidRPr="00241BF4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  <w:lang w:val="en-US"/>
                    </w:rPr>
                    <w:t>TATSUNO</w:t>
                  </w:r>
                  <w:r w:rsidRPr="006E4D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RUS</w:t>
                  </w:r>
                  <w:r w:rsidRPr="006E4D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OCEAN</w:t>
                  </w:r>
                  <w:r w:rsidRPr="00241BF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EUROLINE</w:t>
                  </w:r>
                  <w:r w:rsidRPr="00241BF4">
                    <w:rPr>
                      <w:sz w:val="24"/>
                      <w:szCs w:val="24"/>
                    </w:rPr>
                    <w:t xml:space="preserve">) (2 </w:t>
                  </w:r>
                  <w:r>
                    <w:rPr>
                      <w:sz w:val="24"/>
                      <w:szCs w:val="24"/>
                    </w:rPr>
                    <w:t xml:space="preserve">стороны, 4 продукта, 8 раздаточных кранов) напорная гидравлика, стандартная производительность 50 л\мин., пистолеты </w:t>
                  </w:r>
                  <w:r>
                    <w:rPr>
                      <w:sz w:val="24"/>
                      <w:szCs w:val="24"/>
                      <w:lang w:val="en-US"/>
                    </w:rPr>
                    <w:t>ZVA</w:t>
                  </w:r>
                  <w:r>
                    <w:rPr>
                      <w:sz w:val="24"/>
                      <w:szCs w:val="24"/>
                    </w:rPr>
                    <w:t>, верхний, нижний декоративные элементы, светодиодная индикация номера ТРК, цвет стандартный белый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D67003" w:rsidRPr="000D0E3E" w:rsidRDefault="00D67003" w:rsidP="00C756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D0E3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67003" w:rsidRPr="00241BF4" w:rsidRDefault="00D67003" w:rsidP="00C756A2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1 1</w:t>
                  </w:r>
                  <w:r w:rsidRPr="00241BF4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501" w:type="dxa"/>
                  <w:vAlign w:val="center"/>
                </w:tcPr>
                <w:p w:rsidR="00D67003" w:rsidRPr="00241BF4" w:rsidRDefault="00D67003" w:rsidP="00C756A2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 xml:space="preserve">200 </w:t>
                  </w:r>
                  <w:r w:rsidRPr="00241BF4">
                    <w:rPr>
                      <w:sz w:val="24"/>
                      <w:szCs w:val="24"/>
                    </w:rPr>
                    <w:t>000</w:t>
                  </w:r>
                  <w:r w:rsidRPr="000D0E3E">
                    <w:rPr>
                      <w:sz w:val="24"/>
                      <w:szCs w:val="24"/>
                    </w:rPr>
                    <w:t>,</w:t>
                  </w:r>
                  <w:r w:rsidRPr="00241BF4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D67003" w:rsidRPr="00620E81" w:rsidTr="00B96F75">
              <w:trPr>
                <w:trHeight w:val="898"/>
                <w:jc w:val="center"/>
              </w:trPr>
              <w:tc>
                <w:tcPr>
                  <w:tcW w:w="402" w:type="dxa"/>
                  <w:vMerge/>
                  <w:shd w:val="clear" w:color="auto" w:fill="auto"/>
                  <w:vAlign w:val="center"/>
                </w:tcPr>
                <w:p w:rsidR="00D67003" w:rsidRPr="008836F5" w:rsidRDefault="00D67003" w:rsidP="00CB67E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67003" w:rsidRPr="006E4D97" w:rsidRDefault="00D67003" w:rsidP="006818D5">
                  <w:pPr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Погружной насос 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FePetro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»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STP</w:t>
                  </w:r>
                  <w:r w:rsidRPr="006E4D97">
                    <w:rPr>
                      <w:color w:val="000000"/>
                      <w:sz w:val="24"/>
                      <w:szCs w:val="24"/>
                    </w:rPr>
                    <w:t>150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6E4D9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VL</w:t>
                  </w:r>
                  <w:r w:rsidRPr="006E4D97">
                    <w:rPr>
                      <w:color w:val="000000"/>
                      <w:sz w:val="24"/>
                      <w:szCs w:val="24"/>
                    </w:rPr>
                    <w:t xml:space="preserve">2 </w:t>
                  </w:r>
                  <w:r>
                    <w:rPr>
                      <w:color w:val="000000"/>
                      <w:sz w:val="24"/>
                      <w:szCs w:val="24"/>
                    </w:rPr>
                    <w:t>с установочным комплектом (Установочный патрубок, гибкое соединение, взрывозащитный фитинг для подключения кабелей)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D67003" w:rsidRPr="000D0E3E" w:rsidRDefault="00D67003" w:rsidP="00C756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0D0E3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67003" w:rsidRPr="00241BF4" w:rsidRDefault="00D67003" w:rsidP="00C756A2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105</w:t>
                  </w:r>
                  <w:r w:rsidRPr="000D0E3E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241BF4">
                    <w:rPr>
                      <w:sz w:val="24"/>
                      <w:szCs w:val="24"/>
                    </w:rPr>
                    <w:t>000</w:t>
                  </w:r>
                  <w:r w:rsidRPr="000D0E3E">
                    <w:rPr>
                      <w:sz w:val="24"/>
                      <w:szCs w:val="24"/>
                    </w:rPr>
                    <w:t>,</w:t>
                  </w:r>
                  <w:r w:rsidRPr="00241BF4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01" w:type="dxa"/>
                  <w:vAlign w:val="center"/>
                </w:tcPr>
                <w:p w:rsidR="00D67003" w:rsidRPr="00241BF4" w:rsidRDefault="00D67003" w:rsidP="00C756A2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241BF4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 w:rsidRPr="000D0E3E">
                    <w:rPr>
                      <w:sz w:val="24"/>
                      <w:szCs w:val="24"/>
                      <w:lang w:val="en-US"/>
                    </w:rPr>
                    <w:t> </w:t>
                  </w:r>
                  <w:r w:rsidRPr="00241BF4">
                    <w:rPr>
                      <w:sz w:val="24"/>
                      <w:szCs w:val="24"/>
                    </w:rPr>
                    <w:t>000</w:t>
                  </w:r>
                  <w:r w:rsidRPr="000D0E3E">
                    <w:rPr>
                      <w:sz w:val="24"/>
                      <w:szCs w:val="24"/>
                    </w:rPr>
                    <w:t>,</w:t>
                  </w:r>
                  <w:r w:rsidRPr="00241BF4">
                    <w:rPr>
                      <w:sz w:val="24"/>
                      <w:szCs w:val="24"/>
                    </w:rPr>
                    <w:t>00</w:t>
                  </w:r>
                </w:p>
              </w:tc>
            </w:tr>
            <w:tr w:rsidR="008836F5" w:rsidRPr="00620E81" w:rsidTr="00897095">
              <w:trPr>
                <w:trHeight w:val="463"/>
                <w:jc w:val="center"/>
              </w:trPr>
              <w:tc>
                <w:tcPr>
                  <w:tcW w:w="5930" w:type="dxa"/>
                  <w:gridSpan w:val="4"/>
                  <w:shd w:val="clear" w:color="auto" w:fill="auto"/>
                  <w:vAlign w:val="center"/>
                </w:tcPr>
                <w:p w:rsidR="008836F5" w:rsidRPr="008836F5" w:rsidRDefault="008836F5" w:rsidP="00CB67EA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 w:rsidRPr="008836F5">
                    <w:rPr>
                      <w:sz w:val="24"/>
                      <w:szCs w:val="24"/>
                    </w:rPr>
                    <w:t>ИТОГО</w:t>
                  </w:r>
                  <w:r w:rsidRPr="008836F5"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1501" w:type="dxa"/>
                  <w:vAlign w:val="center"/>
                </w:tcPr>
                <w:p w:rsidR="008836F5" w:rsidRPr="00897095" w:rsidRDefault="00897095" w:rsidP="00CB67EA">
                  <w:pPr>
                    <w:jc w:val="center"/>
                    <w:rPr>
                      <w:sz w:val="22"/>
                      <w:szCs w:val="22"/>
                    </w:rPr>
                  </w:pPr>
                  <w:r w:rsidRPr="00897095">
                    <w:rPr>
                      <w:sz w:val="24"/>
                      <w:szCs w:val="24"/>
                      <w:lang w:val="en-US"/>
                    </w:rPr>
                    <w:t>3 470 000,00</w:t>
                  </w:r>
                </w:p>
              </w:tc>
            </w:tr>
          </w:tbl>
          <w:p w:rsidR="00087D83" w:rsidRPr="00B26498" w:rsidRDefault="00087D83" w:rsidP="00C0098E">
            <w:pPr>
              <w:tabs>
                <w:tab w:val="left" w:pos="473"/>
              </w:tabs>
              <w:spacing w:after="120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B26498" w:rsidRDefault="000419C4" w:rsidP="008F1B9F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F1B9F" w:rsidRPr="008F1B9F">
              <w:rPr>
                <w:sz w:val="24"/>
                <w:szCs w:val="24"/>
                <w:lang w:eastAsia="ru-RU"/>
              </w:rPr>
              <w:t>9</w:t>
            </w:r>
            <w:r w:rsidRPr="000419C4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="008F1B9F">
              <w:rPr>
                <w:sz w:val="24"/>
                <w:szCs w:val="24"/>
                <w:lang w:eastAsia="ru-RU"/>
              </w:rPr>
              <w:t>Девяноста</w:t>
            </w:r>
            <w:r>
              <w:rPr>
                <w:sz w:val="24"/>
                <w:szCs w:val="24"/>
                <w:lang w:eastAsia="ru-RU"/>
              </w:rPr>
              <w:t>) календарных дней от даты подписания сторонами договора поставки.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897095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897095">
              <w:rPr>
                <w:sz w:val="24"/>
                <w:szCs w:val="24"/>
                <w:lang w:eastAsia="ru-RU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897095">
              <w:rPr>
                <w:sz w:val="24"/>
                <w:szCs w:val="24"/>
                <w:lang w:eastAsia="ru-RU"/>
              </w:rPr>
              <w:t>Жатай</w:t>
            </w:r>
            <w:proofErr w:type="spellEnd"/>
            <w:r w:rsidRPr="00897095">
              <w:rPr>
                <w:sz w:val="24"/>
                <w:szCs w:val="24"/>
                <w:lang w:eastAsia="ru-RU"/>
              </w:rPr>
              <w:t xml:space="preserve"> городской округ, </w:t>
            </w:r>
            <w:proofErr w:type="spellStart"/>
            <w:r w:rsidRPr="00897095">
              <w:rPr>
                <w:sz w:val="24"/>
                <w:szCs w:val="24"/>
                <w:lang w:eastAsia="ru-RU"/>
              </w:rPr>
              <w:t>пгт.Жатай</w:t>
            </w:r>
            <w:proofErr w:type="spellEnd"/>
            <w:r w:rsidRPr="00897095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97095">
              <w:rPr>
                <w:sz w:val="24"/>
                <w:szCs w:val="24"/>
                <w:lang w:eastAsia="ru-RU"/>
              </w:rPr>
              <w:t>Строда</w:t>
            </w:r>
            <w:proofErr w:type="spellEnd"/>
            <w:r w:rsidRPr="00897095">
              <w:rPr>
                <w:sz w:val="24"/>
                <w:szCs w:val="24"/>
                <w:lang w:eastAsia="ru-RU"/>
              </w:rPr>
              <w:t>, д.12, филиал Якутская нефтебаза АО «</w:t>
            </w:r>
            <w:proofErr w:type="spellStart"/>
            <w:r w:rsidRPr="00897095">
              <w:rPr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897095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AD38AD" w:rsidRPr="000C42F5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0C42F5" w:rsidRDefault="00AD38AD" w:rsidP="00D452F4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0C42F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6E5B9A" w:rsidRPr="000C42F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9E354E" w:rsidRPr="000C42F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C87375" w:rsidRPr="000C42F5">
              <w:t xml:space="preserve"> </w:t>
            </w:r>
            <w:r w:rsidR="0000262B" w:rsidRPr="0000262B">
              <w:rPr>
                <w:b/>
                <w:sz w:val="24"/>
              </w:rPr>
              <w:t>4479</w:t>
            </w:r>
            <w:r w:rsidR="0000262B">
              <w:rPr>
                <w:b/>
                <w:sz w:val="24"/>
              </w:rPr>
              <w:t>492</w:t>
            </w:r>
            <w:r w:rsidR="000C42F5" w:rsidRPr="000C42F5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770D8C" w:rsidRPr="000C42F5">
              <w:rPr>
                <w:sz w:val="24"/>
                <w:szCs w:val="24"/>
              </w:rPr>
              <w:t xml:space="preserve">на  </w:t>
            </w:r>
            <w:r w:rsidR="009E354E" w:rsidRPr="000C42F5">
              <w:rPr>
                <w:sz w:val="24"/>
                <w:szCs w:val="24"/>
              </w:rPr>
              <w:t xml:space="preserve">ЭП </w:t>
            </w:r>
            <w:hyperlink r:id="rId7" w:history="1">
              <w:r w:rsidR="009E354E" w:rsidRPr="000C42F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9E354E" w:rsidRPr="000C42F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E354E" w:rsidRPr="000C42F5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proofErr w:type="spellEnd"/>
              <w:r w:rsidR="009E354E" w:rsidRPr="000C42F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E354E" w:rsidRPr="000C42F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1405" w:rsidRPr="000C42F5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  <w:r w:rsidRPr="000C42F5">
              <w:rPr>
                <w:b/>
                <w:sz w:val="24"/>
                <w:szCs w:val="24"/>
              </w:rPr>
              <w:t xml:space="preserve">№   </w:t>
            </w:r>
            <w:r w:rsidR="00AB19A1" w:rsidRPr="000C42F5">
              <w:rPr>
                <w:b/>
                <w:sz w:val="24"/>
                <w:szCs w:val="24"/>
              </w:rPr>
              <w:t xml:space="preserve"> </w:t>
            </w:r>
            <w:r w:rsidR="00A75118">
              <w:rPr>
                <w:b/>
                <w:sz w:val="24"/>
                <w:szCs w:val="24"/>
              </w:rPr>
              <w:t>3</w:t>
            </w:r>
            <w:r w:rsidR="00D705EB" w:rsidRPr="000C42F5">
              <w:rPr>
                <w:b/>
                <w:sz w:val="24"/>
                <w:szCs w:val="24"/>
              </w:rPr>
              <w:t xml:space="preserve"> </w:t>
            </w:r>
            <w:r w:rsidRPr="000C42F5">
              <w:rPr>
                <w:sz w:val="24"/>
                <w:szCs w:val="24"/>
              </w:rPr>
              <w:t xml:space="preserve">на  </w:t>
            </w:r>
            <w:hyperlink r:id="rId8" w:history="1">
              <w:r w:rsidR="008F1B9F" w:rsidRPr="000C42F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8F1B9F" w:rsidRPr="000C42F5">
                <w:rPr>
                  <w:rStyle w:val="a3"/>
                  <w:sz w:val="24"/>
                  <w:szCs w:val="24"/>
                </w:rPr>
                <w:t>.саханефтегазсбыт.рф</w:t>
              </w:r>
            </w:hyperlink>
          </w:p>
          <w:p w:rsidR="00AD38AD" w:rsidRPr="000C42F5" w:rsidRDefault="00AD38AD" w:rsidP="00D452F4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ЭП </w:t>
                  </w:r>
                  <w:hyperlink r:id="rId9" w:history="1">
                    <w:r w:rsidRPr="00BB41F7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B41F7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Pr="00BB41F7">
                      <w:rPr>
                        <w:rStyle w:val="a3"/>
                        <w:sz w:val="24"/>
                        <w:szCs w:val="24"/>
                        <w:lang w:val="en-US"/>
                      </w:rPr>
                      <w:t>otc</w:t>
                    </w:r>
                    <w:r w:rsidRPr="00BB41F7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Pr="00BB41F7">
                      <w:rPr>
                        <w:rStyle w:val="a3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D67003">
                    <w:rPr>
                      <w:b/>
                      <w:color w:val="000000"/>
                      <w:sz w:val="24"/>
                      <w:szCs w:val="24"/>
                    </w:rPr>
                    <w:t>22.01.2020</w:t>
                  </w:r>
                  <w:r w:rsidR="0045523C" w:rsidRPr="00B054B4">
                    <w:rPr>
                      <w:b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A75118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5F646E" w:rsidRPr="00A75118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365742" w:rsidRPr="00A75118">
                    <w:rPr>
                      <w:b/>
                      <w:color w:val="000000"/>
                      <w:sz w:val="24"/>
                      <w:szCs w:val="24"/>
                    </w:rPr>
                    <w:t>8.01</w:t>
                  </w:r>
                  <w:r w:rsidRPr="00A75118">
                    <w:rPr>
                      <w:b/>
                      <w:color w:val="000000"/>
                      <w:sz w:val="24"/>
                      <w:szCs w:val="24"/>
                    </w:rPr>
                    <w:t>.20</w:t>
                  </w:r>
                  <w:r w:rsidR="00D67003" w:rsidRPr="00A75118">
                    <w:rPr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Pr="009A061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AD38AD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B054B4">
              <w:rPr>
                <w:sz w:val="24"/>
                <w:szCs w:val="24"/>
              </w:rPr>
              <w:t>ЭП</w:t>
            </w:r>
            <w:r>
              <w:t xml:space="preserve"> </w:t>
            </w:r>
            <w:hyperlink r:id="rId11" w:history="1">
              <w:r w:rsidRPr="008316C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316C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316C8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proofErr w:type="spellEnd"/>
              <w:r w:rsidRPr="008316C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316C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D67003">
              <w:rPr>
                <w:b/>
              </w:rPr>
              <w:t>22.01.2020</w:t>
            </w:r>
            <w:r w:rsidRPr="00B054B4">
              <w:rPr>
                <w:b/>
              </w:rPr>
              <w:t xml:space="preserve"> 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365742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AD38AD" w:rsidRPr="00B054B4">
              <w:t xml:space="preserve">) </w:t>
            </w:r>
            <w:r w:rsidR="008F1B9F">
              <w:rPr>
                <w:b/>
              </w:rPr>
              <w:t>2</w:t>
            </w:r>
            <w:r w:rsidR="00365742">
              <w:rPr>
                <w:b/>
              </w:rPr>
              <w:t>8.01</w:t>
            </w:r>
            <w:r w:rsidR="008553E7" w:rsidRPr="0045523C">
              <w:rPr>
                <w:b/>
              </w:rPr>
              <w:t>.20</w:t>
            </w:r>
            <w:r w:rsidR="00D67003">
              <w:rPr>
                <w:b/>
              </w:rPr>
              <w:t>20</w:t>
            </w:r>
            <w:r w:rsidR="00AD38AD" w:rsidRPr="00B054B4">
              <w:rPr>
                <w:b/>
              </w:rPr>
              <w:t>года.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365742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365742">
              <w:rPr>
                <w:b/>
              </w:rPr>
              <w:t>30.01</w:t>
            </w:r>
            <w:r w:rsidR="00F23132">
              <w:rPr>
                <w:b/>
              </w:rPr>
              <w:t>.20</w:t>
            </w:r>
            <w:r w:rsidR="00D67003">
              <w:rPr>
                <w:b/>
              </w:rPr>
              <w:t>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lastRenderedPageBreak/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г. Якутск, ул. </w:t>
            </w:r>
            <w:proofErr w:type="spellStart"/>
            <w:r w:rsidRPr="00B054B4">
              <w:t>Чиряева</w:t>
            </w:r>
            <w:proofErr w:type="spellEnd"/>
            <w:r w:rsidRPr="00B054B4">
              <w:t>, 3, кабинет № 216.</w:t>
            </w:r>
          </w:p>
          <w:p w:rsidR="00AD38AD" w:rsidRPr="00B054B4" w:rsidRDefault="00AD38AD" w:rsidP="00D67003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365742">
              <w:rPr>
                <w:b/>
              </w:rPr>
              <w:t>31.01</w:t>
            </w:r>
            <w:r w:rsidR="00A74FCC" w:rsidRPr="00223473">
              <w:rPr>
                <w:b/>
              </w:rPr>
              <w:t>.20</w:t>
            </w:r>
            <w:r w:rsidR="00D67003">
              <w:rPr>
                <w:b/>
              </w:rPr>
              <w:t>20</w:t>
            </w:r>
            <w:r>
              <w:rPr>
                <w:b/>
              </w:rPr>
              <w:t xml:space="preserve"> года </w:t>
            </w:r>
            <w:r w:rsidR="00942981">
              <w:rPr>
                <w:b/>
              </w:rPr>
              <w:t>18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E"/>
    <w:rsid w:val="00001631"/>
    <w:rsid w:val="0000262B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7D83"/>
    <w:rsid w:val="000904A0"/>
    <w:rsid w:val="00094931"/>
    <w:rsid w:val="00095F15"/>
    <w:rsid w:val="00097450"/>
    <w:rsid w:val="000A3E8D"/>
    <w:rsid w:val="000A73F6"/>
    <w:rsid w:val="000A74A8"/>
    <w:rsid w:val="000C42F5"/>
    <w:rsid w:val="000C68BB"/>
    <w:rsid w:val="000D1FDE"/>
    <w:rsid w:val="000D6DBA"/>
    <w:rsid w:val="000D7218"/>
    <w:rsid w:val="000E12F5"/>
    <w:rsid w:val="00102A44"/>
    <w:rsid w:val="001041E4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5742"/>
    <w:rsid w:val="00366463"/>
    <w:rsid w:val="003834DD"/>
    <w:rsid w:val="00383F0A"/>
    <w:rsid w:val="00395F90"/>
    <w:rsid w:val="003B0E28"/>
    <w:rsid w:val="003C3E3D"/>
    <w:rsid w:val="003D1079"/>
    <w:rsid w:val="003D1A2B"/>
    <w:rsid w:val="003D35D5"/>
    <w:rsid w:val="003E15FF"/>
    <w:rsid w:val="003E44C8"/>
    <w:rsid w:val="003F4119"/>
    <w:rsid w:val="003F53F7"/>
    <w:rsid w:val="003F5592"/>
    <w:rsid w:val="003F6F34"/>
    <w:rsid w:val="00415F07"/>
    <w:rsid w:val="00420058"/>
    <w:rsid w:val="00432D7E"/>
    <w:rsid w:val="004354E2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5F646E"/>
    <w:rsid w:val="0060169C"/>
    <w:rsid w:val="00607CAB"/>
    <w:rsid w:val="0061485B"/>
    <w:rsid w:val="00616FF5"/>
    <w:rsid w:val="006223B2"/>
    <w:rsid w:val="00627BE9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6D13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4906"/>
    <w:rsid w:val="00795EAD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36F5"/>
    <w:rsid w:val="0088417A"/>
    <w:rsid w:val="008915D4"/>
    <w:rsid w:val="00897095"/>
    <w:rsid w:val="008A123B"/>
    <w:rsid w:val="008A57E6"/>
    <w:rsid w:val="008B58D8"/>
    <w:rsid w:val="008B7275"/>
    <w:rsid w:val="008B7CC8"/>
    <w:rsid w:val="008C422A"/>
    <w:rsid w:val="008E518E"/>
    <w:rsid w:val="008E7C16"/>
    <w:rsid w:val="008F1B9F"/>
    <w:rsid w:val="009024F4"/>
    <w:rsid w:val="00912A7C"/>
    <w:rsid w:val="00921876"/>
    <w:rsid w:val="009235C5"/>
    <w:rsid w:val="00924A79"/>
    <w:rsid w:val="009355A5"/>
    <w:rsid w:val="00941C3E"/>
    <w:rsid w:val="00942981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614"/>
    <w:rsid w:val="009A0CCF"/>
    <w:rsid w:val="009A23D0"/>
    <w:rsid w:val="009A5F1D"/>
    <w:rsid w:val="009B15ED"/>
    <w:rsid w:val="009C2A1C"/>
    <w:rsid w:val="009C38E2"/>
    <w:rsid w:val="009C6A92"/>
    <w:rsid w:val="009D0926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75118"/>
    <w:rsid w:val="00A87FCA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6F75"/>
    <w:rsid w:val="00B9705C"/>
    <w:rsid w:val="00BA10C5"/>
    <w:rsid w:val="00BA2620"/>
    <w:rsid w:val="00BC589C"/>
    <w:rsid w:val="00BD6370"/>
    <w:rsid w:val="00BE3264"/>
    <w:rsid w:val="00BE62A3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528C"/>
    <w:rsid w:val="00D4576A"/>
    <w:rsid w:val="00D565BE"/>
    <w:rsid w:val="00D6277F"/>
    <w:rsid w:val="00D65C84"/>
    <w:rsid w:val="00D67003"/>
    <w:rsid w:val="00D705EB"/>
    <w:rsid w:val="00D76F1A"/>
    <w:rsid w:val="00D91BBD"/>
    <w:rsid w:val="00D96F01"/>
    <w:rsid w:val="00DA1835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20335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4456"/>
    <w:rsid w:val="00F01D42"/>
    <w:rsid w:val="00F145FD"/>
    <w:rsid w:val="00F15C12"/>
    <w:rsid w:val="00F17521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14B6"/>
    <w:rsid w:val="00FB53F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4DAC"/>
  <w15:docId w15:val="{0965336B-107C-4024-AD58-FD17CF09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4ADE-218A-44F0-BF27-85CF657D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3</cp:revision>
  <cp:lastPrinted>2020-01-23T03:31:00Z</cp:lastPrinted>
  <dcterms:created xsi:type="dcterms:W3CDTF">2020-01-23T03:31:00Z</dcterms:created>
  <dcterms:modified xsi:type="dcterms:W3CDTF">2020-02-27T01:34:00Z</dcterms:modified>
</cp:coreProperties>
</file>