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204C92" w:rsidRPr="00BA579F" w:rsidRDefault="00204C92" w:rsidP="00204C92">
      <w:pPr>
        <w:jc w:val="right"/>
      </w:pPr>
      <w:r w:rsidRPr="00F11747">
        <w:rPr>
          <w:i/>
        </w:rPr>
        <w:t>от "</w:t>
      </w:r>
      <w:r w:rsidR="00CF7334">
        <w:rPr>
          <w:i/>
        </w:rPr>
        <w:t>2</w:t>
      </w:r>
      <w:r w:rsidR="00E244B4">
        <w:rPr>
          <w:i/>
        </w:rPr>
        <w:t>6</w:t>
      </w:r>
      <w:r w:rsidRPr="00F11747">
        <w:rPr>
          <w:i/>
        </w:rPr>
        <w:t>"</w:t>
      </w:r>
      <w:r>
        <w:rPr>
          <w:i/>
        </w:rPr>
        <w:t>августа</w:t>
      </w:r>
      <w:r w:rsidRPr="00F11747">
        <w:rPr>
          <w:i/>
        </w:rPr>
        <w:t xml:space="preserve"> 2021 г. № Закуп-3</w:t>
      </w:r>
      <w:r w:rsidR="00CF7334">
        <w:rPr>
          <w:i/>
        </w:rPr>
        <w:t>9</w:t>
      </w:r>
      <w:r w:rsidR="00E244B4">
        <w:rPr>
          <w:i/>
        </w:rPr>
        <w:t>92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35275">
        <w:rPr>
          <w:sz w:val="24"/>
          <w:szCs w:val="24"/>
        </w:rPr>
        <w:t>25</w:t>
      </w:r>
      <w:r w:rsidR="00D32693">
        <w:rPr>
          <w:sz w:val="24"/>
          <w:szCs w:val="24"/>
        </w:rPr>
        <w:t>.06</w:t>
      </w:r>
      <w:r w:rsidR="00507D18" w:rsidRPr="00507D18">
        <w:rPr>
          <w:sz w:val="24"/>
          <w:szCs w:val="24"/>
        </w:rPr>
        <w:t xml:space="preserve">.2021г. № </w:t>
      </w:r>
      <w:r w:rsidR="00D32693">
        <w:rPr>
          <w:sz w:val="24"/>
          <w:szCs w:val="24"/>
        </w:rPr>
        <w:t>7</w:t>
      </w:r>
      <w:r w:rsidR="00507D18" w:rsidRPr="00507D18">
        <w:rPr>
          <w:sz w:val="24"/>
          <w:szCs w:val="24"/>
        </w:rPr>
        <w:t xml:space="preserve">-21,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2C6D14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17673" w:rsidRPr="00417673" w:rsidRDefault="00417673" w:rsidP="0041767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17673">
              <w:rPr>
                <w:rFonts w:eastAsia="Calibri"/>
                <w:sz w:val="24"/>
                <w:szCs w:val="24"/>
                <w:lang w:eastAsia="en-US"/>
              </w:rPr>
              <w:t xml:space="preserve">Кузьмин Гурий Анатольевич - телефон 8(4112) 31-89-32 (доб. 261) 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Pr="004815A8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7673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417673">
              <w:rPr>
                <w:sz w:val="24"/>
                <w:szCs w:val="24"/>
              </w:rPr>
              <w:t xml:space="preserve"> </w:t>
            </w:r>
            <w:r w:rsidR="00204C92">
              <w:rPr>
                <w:sz w:val="24"/>
                <w:szCs w:val="24"/>
              </w:rPr>
              <w:t>спец</w:t>
            </w:r>
            <w:r w:rsidRPr="00417673">
              <w:rPr>
                <w:sz w:val="24"/>
                <w:szCs w:val="24"/>
              </w:rPr>
              <w:t>техники для нужд АО «Саханефтегазсбыт» в 2021 году.</w:t>
            </w:r>
            <w:r w:rsidRPr="004815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15A8">
              <w:rPr>
                <w:sz w:val="24"/>
                <w:szCs w:val="24"/>
              </w:rPr>
              <w:t>Закупка осуществляется по следующим Лотам:</w:t>
            </w:r>
          </w:p>
          <w:p w:rsidR="00C32B34" w:rsidRPr="00C32B34" w:rsidRDefault="00C32B34" w:rsidP="00C32B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500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3"/>
              <w:gridCol w:w="4512"/>
              <w:gridCol w:w="1260"/>
              <w:gridCol w:w="2606"/>
              <w:gridCol w:w="3514"/>
            </w:tblGrid>
            <w:tr w:rsidR="00E244B4" w:rsidRPr="00406F35" w:rsidTr="004B68AC">
              <w:trPr>
                <w:trHeight w:val="1175"/>
              </w:trPr>
              <w:tc>
                <w:tcPr>
                  <w:tcW w:w="414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Лота</w:t>
                  </w:r>
                </w:p>
              </w:tc>
              <w:tc>
                <w:tcPr>
                  <w:tcW w:w="1740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486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-</w:t>
                  </w:r>
                  <w:r w:rsidRPr="00406F35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во, ед.</w:t>
                  </w:r>
                </w:p>
              </w:tc>
              <w:tc>
                <w:tcPr>
                  <w:tcW w:w="1005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Цена за единицу товара без НДС, руб.</w:t>
                  </w:r>
                </w:p>
              </w:tc>
              <w:tc>
                <w:tcPr>
                  <w:tcW w:w="1355" w:type="pct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Сведения о начальной (максимальной) цене договора без НДС, руб.</w:t>
                  </w:r>
                </w:p>
              </w:tc>
            </w:tr>
            <w:tr w:rsidR="00E244B4" w:rsidRPr="00406F35" w:rsidTr="004B68AC">
              <w:trPr>
                <w:trHeight w:val="702"/>
              </w:trPr>
              <w:tc>
                <w:tcPr>
                  <w:tcW w:w="414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40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rFonts w:eastAsia="Calibri"/>
                      <w:bCs/>
                      <w:sz w:val="24"/>
                      <w:szCs w:val="24"/>
                      <w:highlight w:val="yellow"/>
                      <w:vertAlign w:val="superscript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Седельный тягач</w:t>
                  </w:r>
                  <w:r w:rsidRPr="00406F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F35">
                    <w:rPr>
                      <w:sz w:val="24"/>
                      <w:szCs w:val="24"/>
                    </w:rPr>
                    <w:t>Камаз</w:t>
                  </w:r>
                  <w:proofErr w:type="spellEnd"/>
                  <w:r w:rsidRPr="00406F35">
                    <w:rPr>
                      <w:sz w:val="24"/>
                      <w:szCs w:val="24"/>
                    </w:rPr>
                    <w:t xml:space="preserve"> 65116-6912-48 </w:t>
                  </w:r>
                </w:p>
              </w:tc>
              <w:tc>
                <w:tcPr>
                  <w:tcW w:w="486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  <w:tc>
                <w:tcPr>
                  <w:tcW w:w="1005" w:type="pct"/>
                  <w:vAlign w:val="center"/>
                </w:tcPr>
                <w:p w:rsidR="00E244B4" w:rsidRPr="00406F35" w:rsidRDefault="00E244B4" w:rsidP="00E244B4">
                  <w:pPr>
                    <w:spacing w:after="36" w:line="259" w:lineRule="auto"/>
                    <w:ind w:right="107"/>
                    <w:jc w:val="center"/>
                    <w:rPr>
                      <w:sz w:val="24"/>
                      <w:szCs w:val="24"/>
                    </w:rPr>
                  </w:pPr>
                  <w:r w:rsidRPr="00406F35">
                    <w:rPr>
                      <w:bCs/>
                      <w:color w:val="000000"/>
                      <w:sz w:val="24"/>
                      <w:szCs w:val="24"/>
                    </w:rPr>
                    <w:t>4 004 166, 67</w:t>
                  </w:r>
                </w:p>
              </w:tc>
              <w:tc>
                <w:tcPr>
                  <w:tcW w:w="1355" w:type="pct"/>
                  <w:vAlign w:val="center"/>
                </w:tcPr>
                <w:p w:rsidR="00E244B4" w:rsidRPr="00406F35" w:rsidRDefault="00E244B4" w:rsidP="00E244B4">
                  <w:pPr>
                    <w:spacing w:after="36" w:line="259" w:lineRule="auto"/>
                    <w:ind w:right="107"/>
                    <w:jc w:val="center"/>
                    <w:rPr>
                      <w:sz w:val="24"/>
                      <w:szCs w:val="24"/>
                    </w:rPr>
                  </w:pPr>
                  <w:r w:rsidRPr="00406F35">
                    <w:rPr>
                      <w:bCs/>
                      <w:color w:val="000000"/>
                      <w:sz w:val="24"/>
                      <w:szCs w:val="24"/>
                    </w:rPr>
                    <w:t>4 004 166, 67</w:t>
                  </w:r>
                </w:p>
              </w:tc>
            </w:tr>
            <w:tr w:rsidR="00E244B4" w:rsidRPr="00406F35" w:rsidTr="004B68AC">
              <w:trPr>
                <w:trHeight w:val="702"/>
              </w:trPr>
              <w:tc>
                <w:tcPr>
                  <w:tcW w:w="414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1740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Седельный тягач</w:t>
                  </w:r>
                  <w:r w:rsidRPr="00406F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6F35">
                    <w:rPr>
                      <w:sz w:val="24"/>
                      <w:szCs w:val="24"/>
                    </w:rPr>
                    <w:t>Камаз</w:t>
                  </w:r>
                  <w:proofErr w:type="spellEnd"/>
                  <w:r w:rsidRPr="00406F35">
                    <w:rPr>
                      <w:sz w:val="24"/>
                      <w:szCs w:val="24"/>
                    </w:rPr>
                    <w:t xml:space="preserve"> 65116-6912-48 </w:t>
                  </w:r>
                </w:p>
              </w:tc>
              <w:tc>
                <w:tcPr>
                  <w:tcW w:w="486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05" w:type="pct"/>
                  <w:vAlign w:val="center"/>
                </w:tcPr>
                <w:p w:rsidR="00E244B4" w:rsidRPr="00406F35" w:rsidRDefault="00E244B4" w:rsidP="00E244B4">
                  <w:pPr>
                    <w:spacing w:after="36" w:line="259" w:lineRule="auto"/>
                    <w:ind w:right="10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06F35">
                    <w:rPr>
                      <w:bCs/>
                      <w:color w:val="000000"/>
                      <w:sz w:val="24"/>
                      <w:szCs w:val="24"/>
                    </w:rPr>
                    <w:t>4 004 166, 67</w:t>
                  </w:r>
                </w:p>
              </w:tc>
              <w:tc>
                <w:tcPr>
                  <w:tcW w:w="1355" w:type="pct"/>
                  <w:vAlign w:val="center"/>
                </w:tcPr>
                <w:p w:rsidR="00E244B4" w:rsidRPr="00406F35" w:rsidRDefault="00E244B4" w:rsidP="00E244B4">
                  <w:pPr>
                    <w:spacing w:after="36" w:line="259" w:lineRule="auto"/>
                    <w:ind w:right="10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06F35">
                    <w:rPr>
                      <w:bCs/>
                      <w:color w:val="000000"/>
                      <w:sz w:val="24"/>
                      <w:szCs w:val="24"/>
                    </w:rPr>
                    <w:t>4 004 166, 67</w:t>
                  </w:r>
                </w:p>
              </w:tc>
            </w:tr>
            <w:tr w:rsidR="00E244B4" w:rsidRPr="00406F35" w:rsidTr="004B68AC">
              <w:trPr>
                <w:trHeight w:val="702"/>
              </w:trPr>
              <w:tc>
                <w:tcPr>
                  <w:tcW w:w="414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740" w:type="pct"/>
                  <w:vAlign w:val="center"/>
                </w:tcPr>
                <w:p w:rsidR="00E244B4" w:rsidRPr="00406F35" w:rsidRDefault="00E244B4" w:rsidP="00E244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406F35">
                    <w:rPr>
                      <w:sz w:val="24"/>
                      <w:szCs w:val="24"/>
                    </w:rPr>
                    <w:t xml:space="preserve">олуприцеп цистерн ППЦ 91392-0000010 </w:t>
                  </w:r>
                  <w:r w:rsidRPr="00406F35">
                    <w:rPr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30</w:t>
                  </w:r>
                  <w:r w:rsidRPr="00406F35">
                    <w:rPr>
                      <w:sz w:val="24"/>
                      <w:szCs w:val="24"/>
                    </w:rPr>
                    <w:t xml:space="preserve"> м</w:t>
                  </w:r>
                  <w:r w:rsidRPr="00406F35">
                    <w:rPr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486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005" w:type="pct"/>
                  <w:vAlign w:val="center"/>
                </w:tcPr>
                <w:p w:rsidR="00E244B4" w:rsidRPr="00406F35" w:rsidRDefault="00E244B4" w:rsidP="00E244B4">
                  <w:pPr>
                    <w:spacing w:after="36" w:line="259" w:lineRule="auto"/>
                    <w:ind w:right="10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3 137 500,00</w:t>
                  </w:r>
                </w:p>
              </w:tc>
              <w:tc>
                <w:tcPr>
                  <w:tcW w:w="1355" w:type="pct"/>
                  <w:vAlign w:val="center"/>
                </w:tcPr>
                <w:p w:rsidR="00E244B4" w:rsidRPr="00406F35" w:rsidRDefault="00E244B4" w:rsidP="00E244B4">
                  <w:pPr>
                    <w:spacing w:after="36" w:line="259" w:lineRule="auto"/>
                    <w:ind w:right="10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06F35">
                    <w:rPr>
                      <w:color w:val="000000"/>
                      <w:sz w:val="24"/>
                      <w:szCs w:val="24"/>
                    </w:rPr>
                    <w:t>6 275 000, 00</w:t>
                  </w:r>
                </w:p>
              </w:tc>
            </w:tr>
            <w:tr w:rsidR="00E244B4" w:rsidRPr="00406F35" w:rsidTr="004B68AC">
              <w:trPr>
                <w:trHeight w:val="702"/>
              </w:trPr>
              <w:tc>
                <w:tcPr>
                  <w:tcW w:w="414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40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D64E5E">
                    <w:rPr>
                      <w:color w:val="000000"/>
                      <w:sz w:val="24"/>
                      <w:szCs w:val="24"/>
                    </w:rPr>
                    <w:t>Автотопливозаправщик</w:t>
                  </w:r>
                  <w:proofErr w:type="spellEnd"/>
                  <w:r w:rsidRPr="00D64E5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06F35">
                    <w:rPr>
                      <w:color w:val="000000"/>
                      <w:sz w:val="24"/>
                      <w:szCs w:val="24"/>
                    </w:rPr>
                    <w:t>АТЗ-17 Камаз-65115</w:t>
                  </w:r>
                </w:p>
              </w:tc>
              <w:tc>
                <w:tcPr>
                  <w:tcW w:w="486" w:type="pct"/>
                  <w:vAlign w:val="center"/>
                </w:tcPr>
                <w:p w:rsidR="00E244B4" w:rsidRPr="00406F35" w:rsidRDefault="00E244B4" w:rsidP="00E244B4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06F35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05" w:type="pct"/>
                  <w:vAlign w:val="center"/>
                </w:tcPr>
                <w:p w:rsidR="00E244B4" w:rsidRPr="00406F35" w:rsidRDefault="00E244B4" w:rsidP="00E244B4">
                  <w:pPr>
                    <w:spacing w:after="36" w:line="259" w:lineRule="auto"/>
                    <w:ind w:right="10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06F35">
                    <w:rPr>
                      <w:color w:val="000000"/>
                      <w:sz w:val="24"/>
                      <w:szCs w:val="24"/>
                    </w:rPr>
                    <w:t>5 883 333, 34</w:t>
                  </w:r>
                </w:p>
              </w:tc>
              <w:tc>
                <w:tcPr>
                  <w:tcW w:w="1355" w:type="pct"/>
                  <w:vAlign w:val="center"/>
                </w:tcPr>
                <w:p w:rsidR="00E244B4" w:rsidRPr="00406F35" w:rsidRDefault="00E244B4" w:rsidP="00E244B4">
                  <w:pPr>
                    <w:spacing w:after="36" w:line="259" w:lineRule="auto"/>
                    <w:ind w:right="107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06F35">
                    <w:rPr>
                      <w:color w:val="000000"/>
                      <w:sz w:val="24"/>
                      <w:szCs w:val="24"/>
                    </w:rPr>
                    <w:t>5 883 333, 34</w:t>
                  </w:r>
                </w:p>
              </w:tc>
            </w:tr>
          </w:tbl>
          <w:p w:rsidR="004815A8" w:rsidRPr="002C0CB5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4815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>и и условия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E244B4" w:rsidRPr="00406F35" w:rsidRDefault="00E244B4" w:rsidP="00E244B4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406F35">
              <w:rPr>
                <w:b/>
                <w:bCs/>
                <w:sz w:val="24"/>
                <w:szCs w:val="24"/>
              </w:rPr>
              <w:t>Лот 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6F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-3</w:t>
            </w:r>
            <w:r w:rsidRPr="00406F35">
              <w:rPr>
                <w:b/>
                <w:bCs/>
                <w:sz w:val="24"/>
                <w:szCs w:val="24"/>
              </w:rPr>
              <w:t>:</w:t>
            </w:r>
            <w:r w:rsidRPr="00406F35">
              <w:rPr>
                <w:sz w:val="24"/>
                <w:szCs w:val="24"/>
              </w:rPr>
              <w:t xml:space="preserve"> не более 90 (девяноста) рабочих дней от даты подписания Договора с Победителем </w:t>
            </w:r>
            <w:r>
              <w:rPr>
                <w:sz w:val="24"/>
                <w:szCs w:val="24"/>
              </w:rPr>
              <w:t>закупки</w:t>
            </w:r>
            <w:r w:rsidRPr="00406F35">
              <w:rPr>
                <w:sz w:val="24"/>
                <w:szCs w:val="24"/>
              </w:rPr>
              <w:t>. Со склада поставщика до места поставки силами и средствами Поставщика.</w:t>
            </w:r>
          </w:p>
          <w:p w:rsidR="000419C4" w:rsidRPr="00E244B4" w:rsidRDefault="00E244B4" w:rsidP="00E244B4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406F35">
              <w:rPr>
                <w:b/>
                <w:bCs/>
                <w:sz w:val="24"/>
                <w:szCs w:val="24"/>
              </w:rPr>
              <w:t>Лот 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6F35">
              <w:rPr>
                <w:b/>
                <w:bCs/>
                <w:sz w:val="24"/>
                <w:szCs w:val="24"/>
              </w:rPr>
              <w:t>4:</w:t>
            </w:r>
            <w:r w:rsidRPr="00406F35">
              <w:rPr>
                <w:sz w:val="24"/>
                <w:szCs w:val="24"/>
              </w:rPr>
              <w:t xml:space="preserve"> не более 70 (семидесяти) рабочих дней от даты подписания До</w:t>
            </w:r>
            <w:r>
              <w:rPr>
                <w:sz w:val="24"/>
                <w:szCs w:val="24"/>
              </w:rPr>
              <w:t>говора с Победителем закупки</w:t>
            </w:r>
            <w:r w:rsidRPr="00406F35">
              <w:rPr>
                <w:sz w:val="24"/>
                <w:szCs w:val="24"/>
              </w:rPr>
              <w:t>. Со склада поставщика до места поставки силами и средствами Поставщика.</w:t>
            </w: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61729E" w:rsidRDefault="00C32B34" w:rsidP="004E7FF0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97464F">
              <w:rPr>
                <w:bCs/>
                <w:sz w:val="24"/>
                <w:szCs w:val="24"/>
              </w:rPr>
              <w:t xml:space="preserve">Российская Федерация, Республика Саха (Якутия), </w:t>
            </w:r>
            <w:proofErr w:type="spellStart"/>
            <w:r w:rsidRPr="0097464F">
              <w:rPr>
                <w:sz w:val="24"/>
                <w:szCs w:val="24"/>
              </w:rPr>
              <w:t>Мегино-Кангаласский</w:t>
            </w:r>
            <w:proofErr w:type="spellEnd"/>
            <w:r w:rsidRPr="0097464F">
              <w:rPr>
                <w:sz w:val="24"/>
                <w:szCs w:val="24"/>
              </w:rPr>
              <w:t xml:space="preserve"> район, с. Павловск, ул. Железнодорожников 15.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0905D8" w:rsidRDefault="004815A8" w:rsidP="003B0A04">
            <w:pPr>
              <w:rPr>
                <w:b/>
                <w:bCs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7" w:tgtFrame="_blank" w:history="1">
              <w:r w:rsidRPr="004815A8">
                <w:rPr>
                  <w:rStyle w:val="a3"/>
                  <w:b/>
                  <w:bCs/>
                  <w:sz w:val="24"/>
                  <w:szCs w:val="24"/>
                </w:rPr>
                <w:t>https://www.torgi223.ru</w:t>
              </w:r>
            </w:hyperlink>
          </w:p>
          <w:p w:rsidR="004815A8" w:rsidRPr="0008787E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026C68" w:rsidRDefault="00AD38AD" w:rsidP="003B0A04">
            <w:pPr>
              <w:rPr>
                <w:rStyle w:val="a3"/>
                <w:sz w:val="24"/>
                <w:szCs w:val="24"/>
              </w:rPr>
            </w:pPr>
            <w:r w:rsidRPr="00026C68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026C6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D177D7" w:rsidRPr="00026C68">
              <w:rPr>
                <w:b/>
                <w:color w:val="333333"/>
                <w:sz w:val="24"/>
                <w:szCs w:val="24"/>
              </w:rPr>
              <w:t>QNT-4</w:t>
            </w:r>
            <w:r w:rsidR="00204F93" w:rsidRPr="00026C68">
              <w:rPr>
                <w:b/>
                <w:color w:val="333333"/>
                <w:sz w:val="24"/>
                <w:szCs w:val="24"/>
              </w:rPr>
              <w:t>4</w:t>
            </w:r>
            <w:r w:rsidR="00026C68" w:rsidRPr="00026C68">
              <w:rPr>
                <w:b/>
                <w:color w:val="333333"/>
                <w:sz w:val="24"/>
                <w:szCs w:val="24"/>
              </w:rPr>
              <w:t>9</w:t>
            </w:r>
            <w:r w:rsidR="00827E3D">
              <w:rPr>
                <w:b/>
                <w:color w:val="333333"/>
                <w:sz w:val="24"/>
                <w:szCs w:val="24"/>
              </w:rPr>
              <w:t>4</w:t>
            </w:r>
            <w:bookmarkStart w:id="0" w:name="_GoBack"/>
            <w:bookmarkEnd w:id="0"/>
            <w:r w:rsidR="00020168" w:rsidRPr="00026C6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026C68">
              <w:rPr>
                <w:sz w:val="24"/>
                <w:szCs w:val="24"/>
              </w:rPr>
              <w:t xml:space="preserve">на  </w:t>
            </w:r>
            <w:r w:rsidR="004815A8" w:rsidRPr="00026C68">
              <w:rPr>
                <w:b/>
                <w:sz w:val="24"/>
                <w:szCs w:val="24"/>
              </w:rPr>
              <w:t>ЭТП "Торги-223 </w:t>
            </w:r>
            <w:hyperlink r:id="rId8" w:tgtFrame="_blank" w:history="1">
              <w:r w:rsidR="004815A8" w:rsidRPr="00026C68">
                <w:rPr>
                  <w:rStyle w:val="a3"/>
                  <w:b/>
                  <w:sz w:val="24"/>
                  <w:szCs w:val="24"/>
                </w:rPr>
                <w:t>https://www.torgi223.ru</w:t>
              </w:r>
            </w:hyperlink>
          </w:p>
          <w:p w:rsidR="00261405" w:rsidRPr="0008787E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26C68">
              <w:rPr>
                <w:b/>
                <w:sz w:val="24"/>
                <w:szCs w:val="24"/>
              </w:rPr>
              <w:t xml:space="preserve">№ </w:t>
            </w:r>
            <w:r w:rsidR="00C32B34" w:rsidRPr="00026C68">
              <w:rPr>
                <w:b/>
                <w:sz w:val="24"/>
                <w:szCs w:val="24"/>
              </w:rPr>
              <w:t>9</w:t>
            </w:r>
            <w:r w:rsidR="00FF28AB" w:rsidRPr="00026C68">
              <w:rPr>
                <w:b/>
                <w:sz w:val="24"/>
                <w:szCs w:val="24"/>
              </w:rPr>
              <w:t>3</w:t>
            </w:r>
            <w:r w:rsidR="00D705EB" w:rsidRPr="00026C68">
              <w:rPr>
                <w:b/>
                <w:sz w:val="24"/>
                <w:szCs w:val="24"/>
              </w:rPr>
              <w:t xml:space="preserve"> </w:t>
            </w:r>
            <w:r w:rsidR="00261405" w:rsidRPr="00026C68">
              <w:rPr>
                <w:sz w:val="24"/>
                <w:szCs w:val="24"/>
              </w:rPr>
              <w:t>на</w:t>
            </w:r>
            <w:r w:rsidR="00261405" w:rsidRPr="0008787E">
              <w:rPr>
                <w:sz w:val="24"/>
                <w:szCs w:val="24"/>
              </w:rPr>
              <w:t xml:space="preserve">  </w:t>
            </w:r>
            <w:hyperlink r:id="rId9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71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3"/>
            </w:tblGrid>
            <w:tr w:rsidR="00AD38AD" w:rsidRPr="005A0DD1" w:rsidTr="00152508">
              <w:trPr>
                <w:trHeight w:val="247"/>
              </w:trPr>
              <w:tc>
                <w:tcPr>
                  <w:tcW w:w="7163" w:type="dxa"/>
                </w:tcPr>
                <w:p w:rsidR="00AD38AD" w:rsidRPr="005D1CE3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5D1CE3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815A8" w:rsidRPr="004815A8">
                    <w:rPr>
                      <w:b/>
                      <w:sz w:val="24"/>
                      <w:szCs w:val="24"/>
                    </w:rPr>
                    <w:t>ЭТП "Торги-223 </w:t>
                  </w:r>
                  <w:hyperlink r:id="rId10" w:tgtFrame="_blank" w:history="1">
                    <w:r w:rsidR="004815A8" w:rsidRPr="004815A8">
                      <w:rPr>
                        <w:rStyle w:val="a3"/>
                        <w:sz w:val="24"/>
                        <w:szCs w:val="24"/>
                      </w:rPr>
                      <w:t>https://www.torgi223.ru</w:t>
                    </w:r>
                  </w:hyperlink>
                  <w:r w:rsidR="003B78D2" w:rsidRPr="003B78D2">
                    <w:rPr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5D1CE3">
                    <w:rPr>
                      <w:sz w:val="24"/>
                      <w:szCs w:val="24"/>
                    </w:rPr>
                    <w:t>Общества</w:t>
                  </w:r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5D1CE3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5D1CE3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DC60B6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C2332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E244B4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D32693">
                    <w:rPr>
                      <w:b/>
                      <w:color w:val="000000"/>
                      <w:sz w:val="24"/>
                      <w:szCs w:val="24"/>
                    </w:rPr>
                    <w:t>.08</w:t>
                  </w:r>
                  <w:r w:rsidR="00E80EB3" w:rsidRPr="00935C7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5D1CE3">
                    <w:rPr>
                      <w:b/>
                    </w:rPr>
                    <w:t xml:space="preserve"> </w:t>
                  </w:r>
                  <w:r w:rsidR="00612B7D" w:rsidRPr="005D1CE3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5D1CE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5D1CE3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5D1CE3">
                    <w:rPr>
                      <w:sz w:val="24"/>
                      <w:szCs w:val="24"/>
                    </w:rPr>
                    <w:t>время м</w:t>
                  </w:r>
                  <w:r w:rsidR="0045523C" w:rsidRPr="005D1CE3">
                    <w:rPr>
                      <w:sz w:val="24"/>
                      <w:szCs w:val="24"/>
                    </w:rPr>
                    <w:t>естно</w:t>
                  </w:r>
                  <w:r w:rsidRPr="005D1CE3">
                    <w:rPr>
                      <w:sz w:val="24"/>
                      <w:szCs w:val="24"/>
                    </w:rPr>
                    <w:t>е</w:t>
                  </w:r>
                  <w:r w:rsidRPr="00283BE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C2332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E244B4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C32B34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9A5579" w:rsidRPr="00283BE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283BEF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E80EB3" w:rsidRPr="00283BE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2F406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069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F4069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5D1CE3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12" w:tgtFrame="_blank" w:history="1">
              <w:r w:rsidRPr="004815A8">
                <w:rPr>
                  <w:rStyle w:val="a3"/>
                  <w:bCs/>
                  <w:sz w:val="24"/>
                  <w:szCs w:val="24"/>
                </w:rPr>
                <w:t>https://www.torgi223.ru</w:t>
              </w:r>
            </w:hyperlink>
            <w:r w:rsidR="005D7327" w:rsidRPr="005D1CE3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C32B34">
              <w:rPr>
                <w:b/>
              </w:rPr>
              <w:t>2</w:t>
            </w:r>
            <w:r w:rsidR="00E244B4">
              <w:rPr>
                <w:b/>
              </w:rPr>
              <w:t>7</w:t>
            </w:r>
            <w:r w:rsidR="00D32693">
              <w:rPr>
                <w:b/>
              </w:rPr>
              <w:t>.08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E244B4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C32B34">
              <w:rPr>
                <w:b/>
              </w:rPr>
              <w:t>) 0</w:t>
            </w:r>
            <w:r w:rsidR="00E244B4">
              <w:rPr>
                <w:b/>
              </w:rPr>
              <w:t>8</w:t>
            </w:r>
            <w:r w:rsidR="00C32B34">
              <w:rPr>
                <w:b/>
              </w:rPr>
              <w:t>.09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lastRenderedPageBreak/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E244B4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C32B34">
              <w:rPr>
                <w:b/>
              </w:rPr>
              <w:t>0</w:t>
            </w:r>
            <w:r w:rsidR="00E244B4">
              <w:rPr>
                <w:b/>
              </w:rPr>
              <w:t>9</w:t>
            </w:r>
            <w:r w:rsidR="00C32B34">
              <w:rPr>
                <w:b/>
              </w:rPr>
              <w:t>.09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4C2332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E244B4">
              <w:rPr>
                <w:b/>
              </w:rPr>
              <w:t>10</w:t>
            </w:r>
            <w:r w:rsidR="00C32B34">
              <w:rPr>
                <w:b/>
              </w:rPr>
              <w:t>.09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2A53A6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62268"/>
    <w:rsid w:val="00063A15"/>
    <w:rsid w:val="000714C7"/>
    <w:rsid w:val="000717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200D09"/>
    <w:rsid w:val="00204C92"/>
    <w:rsid w:val="00204F93"/>
    <w:rsid w:val="00206EF9"/>
    <w:rsid w:val="0021214B"/>
    <w:rsid w:val="00216D71"/>
    <w:rsid w:val="002217A4"/>
    <w:rsid w:val="00230A17"/>
    <w:rsid w:val="0024228B"/>
    <w:rsid w:val="00261405"/>
    <w:rsid w:val="00263F7A"/>
    <w:rsid w:val="00265A00"/>
    <w:rsid w:val="0026685B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7860"/>
    <w:rsid w:val="009A23D0"/>
    <w:rsid w:val="009A5579"/>
    <w:rsid w:val="009A5F1D"/>
    <w:rsid w:val="009B02DD"/>
    <w:rsid w:val="009C2A1C"/>
    <w:rsid w:val="009C38E2"/>
    <w:rsid w:val="009C6A92"/>
    <w:rsid w:val="009D326E"/>
    <w:rsid w:val="009E0F94"/>
    <w:rsid w:val="009E354E"/>
    <w:rsid w:val="009F2949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393A"/>
    <w:rsid w:val="00A65739"/>
    <w:rsid w:val="00A66194"/>
    <w:rsid w:val="00A7378A"/>
    <w:rsid w:val="00A74FCC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81D82"/>
    <w:rsid w:val="00B84037"/>
    <w:rsid w:val="00B92827"/>
    <w:rsid w:val="00B95597"/>
    <w:rsid w:val="00B9705C"/>
    <w:rsid w:val="00BA10C5"/>
    <w:rsid w:val="00BA2620"/>
    <w:rsid w:val="00BB7B80"/>
    <w:rsid w:val="00BC589C"/>
    <w:rsid w:val="00BD6370"/>
    <w:rsid w:val="00BE02A5"/>
    <w:rsid w:val="00BE62A3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4D13"/>
    <w:rsid w:val="00F93A6E"/>
    <w:rsid w:val="00FA0ECC"/>
    <w:rsid w:val="00FB003C"/>
    <w:rsid w:val="00FB14B6"/>
    <w:rsid w:val="00FB7388"/>
    <w:rsid w:val="00FC01B6"/>
    <w:rsid w:val="00FD1F24"/>
    <w:rsid w:val="00FD5993"/>
    <w:rsid w:val="00FF28AB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5E92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/" TargetMode="External"/><Relationship Id="rId12" Type="http://schemas.openxmlformats.org/officeDocument/2006/relationships/hyperlink" Target="https://www.torgi22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8902-8061-4408-A58A-0BCCAB9A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5</cp:revision>
  <cp:lastPrinted>2021-04-01T02:28:00Z</cp:lastPrinted>
  <dcterms:created xsi:type="dcterms:W3CDTF">2021-08-26T06:28:00Z</dcterms:created>
  <dcterms:modified xsi:type="dcterms:W3CDTF">2021-08-27T06:56:00Z</dcterms:modified>
</cp:coreProperties>
</file>