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"0</w:t>
      </w:r>
      <w:r w:rsidR="00F63740">
        <w:rPr>
          <w:rFonts w:eastAsia="Calibri"/>
          <w:lang w:eastAsia="en-US"/>
        </w:rPr>
        <w:t>6</w:t>
      </w:r>
      <w:r w:rsidR="00436385" w:rsidRPr="00436385">
        <w:rPr>
          <w:rFonts w:eastAsia="Calibri"/>
          <w:lang w:eastAsia="en-US"/>
        </w:rPr>
        <w:t xml:space="preserve">" </w:t>
      </w:r>
      <w:r w:rsidR="003A300C">
        <w:rPr>
          <w:rFonts w:eastAsia="Calibri"/>
          <w:lang w:eastAsia="en-US"/>
        </w:rPr>
        <w:t>марта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11</w:t>
      </w:r>
      <w:r w:rsidR="00F63740">
        <w:rPr>
          <w:rFonts w:eastAsia="Calibri"/>
          <w:lang w:eastAsia="en-US"/>
        </w:rPr>
        <w:t>28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155996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A300C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F63740" w:rsidRPr="00F63740">
              <w:rPr>
                <w:bCs/>
              </w:rPr>
      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 xml:space="preserve">Закупка осуществляется по </w:t>
            </w:r>
            <w:r w:rsidR="003A300C">
              <w:t>следующим Лотам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p w:rsidR="00F63740" w:rsidRPr="00F63740" w:rsidRDefault="00F63740" w:rsidP="00F63740">
            <w:pPr>
              <w:suppressAutoHyphens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bookmarkStart w:id="0" w:name="RANGE!A1:G33"/>
            <w:bookmarkEnd w:id="0"/>
            <w:r w:rsidRPr="00F63740">
              <w:rPr>
                <w:b/>
                <w:sz w:val="24"/>
                <w:szCs w:val="24"/>
                <w:lang w:eastAsia="ru-RU"/>
              </w:rPr>
              <w:t xml:space="preserve">Лот №1 Реконструкция резервуарного парка АЗС. АО «Саханефтегазсбыт» в г. Мирный </w:t>
            </w:r>
          </w:p>
          <w:p w:rsidR="00F63740" w:rsidRPr="00F63740" w:rsidRDefault="00F63740" w:rsidP="00F63740">
            <w:pPr>
              <w:suppressAutoHyphens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W w:w="11791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561"/>
              <w:gridCol w:w="1529"/>
              <w:gridCol w:w="4141"/>
            </w:tblGrid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Виды работ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локальной сметы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Шифр проекта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Демонтажные работы.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01-01-01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1023-ПЗУ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346 923,92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Строительные решения: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Устройство поддона ФПМ-1;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Устройство фундамента под флагшток;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lastRenderedPageBreak/>
                    <w:t>Устройство фундамента под пост самообслуживания.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lastRenderedPageBreak/>
                    <w:t>02-01-01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1023-КР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2 047 806,37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Технология производства: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Оборудование и материалы;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Трубопроводы арматура.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02-01-02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1023-ТР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1023-СМ2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2 314 170,40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Строительные решения: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Площадка налива;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Устройство бордюра;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Площадка тех. отсека;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Приямок ПРМ-1;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03-01-01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1023-КР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225 351,31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Строительные решения: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Фундаменты;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Навес;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Опоры 1,2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Опоры 3-9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03-02-01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1023-КР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589 942,21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Вертикальная планировка.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07-01-01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1023-ПЗУ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118 538,42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Озеленение.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07-01-02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1023-ПЗУ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152 703,74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Проезды и площадки.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07-01-03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1023-ПЗУ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1023-ВОР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sz w:val="24"/>
                      <w:szCs w:val="24"/>
                      <w:lang w:eastAsia="ru-RU"/>
                    </w:rPr>
                    <w:t>900 047,44</w:t>
                  </w:r>
                </w:p>
              </w:tc>
            </w:tr>
            <w:tr w:rsidR="00F63740" w:rsidRPr="00F63740" w:rsidTr="00F6374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Итого по Лоту №1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6 695 483,81</w:t>
                  </w:r>
                </w:p>
              </w:tc>
            </w:tr>
          </w:tbl>
          <w:p w:rsidR="00F63740" w:rsidRPr="00F63740" w:rsidRDefault="00F63740" w:rsidP="00F63740">
            <w:pPr>
              <w:suppressAutoHyphens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  <w:p w:rsidR="00F63740" w:rsidRPr="00F63740" w:rsidRDefault="00F63740" w:rsidP="00F63740">
            <w:pPr>
              <w:suppressAutoHyphens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F63740">
              <w:rPr>
                <w:b/>
                <w:sz w:val="24"/>
                <w:szCs w:val="24"/>
                <w:lang w:eastAsia="ru-RU"/>
              </w:rPr>
              <w:t xml:space="preserve">Лот №2: Наружные сети АЗС АО «Саханефтегазсбыт» в г. Мирный </w:t>
            </w:r>
          </w:p>
          <w:p w:rsidR="00F63740" w:rsidRPr="00F63740" w:rsidRDefault="00F63740" w:rsidP="00F63740">
            <w:pPr>
              <w:suppressAutoHyphens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W w:w="11791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561"/>
              <w:gridCol w:w="1529"/>
              <w:gridCol w:w="4141"/>
            </w:tblGrid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Виды работ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локальной сметы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Шифр проекта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Наружные сети электроснабжения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04-01-01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0424-ИОС1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731 571,57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Наружные сети электроосвещения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04-01-02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0424-ИОС1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504 736,09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Наружные сети связи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05-01-01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0424-ИОС5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50 849,80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Видеонаблюдение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05-01-02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0424-ИОС5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758 770,41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Пожарная сигнализация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05-01-03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0424-ИОС5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0424-ПБ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0424-СМ2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80 353,23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Наружные сети канализации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06-01-01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0424-ИОС3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20 968,15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Тепловые сети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06-01-02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0424-ИОС4</w:t>
                  </w:r>
                </w:p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0424-СМ2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Cs/>
                      <w:sz w:val="24"/>
                      <w:szCs w:val="24"/>
                      <w:lang w:eastAsia="ru-RU"/>
                    </w:rPr>
                    <w:t>354 998,68</w:t>
                  </w:r>
                </w:p>
              </w:tc>
            </w:tr>
            <w:tr w:rsidR="00F63740" w:rsidRPr="00F63740" w:rsidTr="00F6374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sz w:val="24"/>
                      <w:szCs w:val="24"/>
                      <w:lang w:eastAsia="ru-RU"/>
                    </w:rPr>
                    <w:t>Итого по Лоту №2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3740" w:rsidRPr="00F63740" w:rsidRDefault="00F63740" w:rsidP="00F63740">
                  <w:pPr>
                    <w:suppressAutoHyphens w:val="0"/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2 502 247,93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Договора. Окончание выполнения работ – 10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436385" w:rsidRDefault="003A300C" w:rsidP="00872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  <w:r w:rsidR="00AA7D49" w:rsidRPr="00AA7D49">
              <w:rPr>
                <w:b/>
                <w:bCs/>
                <w:sz w:val="24"/>
                <w:szCs w:val="24"/>
              </w:rPr>
              <w:t>Э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="00AA7D49" w:rsidRPr="00AA7D4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Росэлторг</w:t>
            </w:r>
            <w:proofErr w:type="spellEnd"/>
            <w:r w:rsidR="00AA7D49" w:rsidRPr="00AA7D49">
              <w:rPr>
                <w:b/>
                <w:bCs/>
                <w:sz w:val="24"/>
                <w:szCs w:val="24"/>
              </w:rPr>
              <w:t xml:space="preserve"> </w:t>
            </w:r>
            <w:r w:rsidRPr="003A300C">
              <w:rPr>
                <w:b/>
                <w:bCs/>
                <w:sz w:val="24"/>
                <w:szCs w:val="24"/>
              </w:rPr>
              <w:t>https://roseltorg.ru/</w:t>
            </w:r>
            <w:bookmarkStart w:id="1" w:name="_GoBack"/>
            <w:bookmarkEnd w:id="1"/>
          </w:p>
          <w:p w:rsidR="00AA7D49" w:rsidRDefault="00AA7D49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5D386D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5D386D">
              <w:rPr>
                <w:sz w:val="24"/>
                <w:szCs w:val="24"/>
              </w:rPr>
              <w:t xml:space="preserve"> </w:t>
            </w:r>
            <w:r w:rsidR="00155996" w:rsidRPr="00155996">
              <w:rPr>
                <w:b/>
                <w:color w:val="000000" w:themeColor="text1"/>
                <w:sz w:val="24"/>
                <w:szCs w:val="24"/>
              </w:rPr>
              <w:t>COM07032400003</w:t>
            </w:r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00C">
              <w:rPr>
                <w:b/>
                <w:bCs/>
                <w:sz w:val="24"/>
                <w:szCs w:val="24"/>
              </w:rPr>
              <w:t>Е</w:t>
            </w:r>
            <w:r w:rsidR="003A300C" w:rsidRPr="00AA7D49">
              <w:rPr>
                <w:b/>
                <w:bCs/>
                <w:sz w:val="24"/>
                <w:szCs w:val="24"/>
              </w:rPr>
              <w:t>Э</w:t>
            </w:r>
            <w:r w:rsidR="003A300C">
              <w:rPr>
                <w:b/>
                <w:bCs/>
                <w:sz w:val="24"/>
                <w:szCs w:val="24"/>
              </w:rPr>
              <w:t>Т</w:t>
            </w:r>
            <w:r w:rsidR="003A300C" w:rsidRPr="00AA7D49">
              <w:rPr>
                <w:b/>
                <w:bCs/>
                <w:sz w:val="24"/>
                <w:szCs w:val="24"/>
              </w:rPr>
              <w:t>П</w:t>
            </w:r>
            <w:r w:rsidR="003A30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300C">
              <w:rPr>
                <w:b/>
                <w:bCs/>
                <w:sz w:val="24"/>
                <w:szCs w:val="24"/>
              </w:rPr>
              <w:t>Росэлторг</w:t>
            </w:r>
            <w:proofErr w:type="spellEnd"/>
            <w:r w:rsidR="003A300C" w:rsidRPr="00AA7D49">
              <w:rPr>
                <w:b/>
                <w:bCs/>
                <w:sz w:val="24"/>
                <w:szCs w:val="24"/>
              </w:rPr>
              <w:t xml:space="preserve"> </w:t>
            </w:r>
            <w:r w:rsidR="003A300C" w:rsidRPr="003A300C">
              <w:rPr>
                <w:b/>
                <w:bCs/>
                <w:sz w:val="24"/>
                <w:szCs w:val="24"/>
              </w:rPr>
              <w:t>https://roseltorg.ru/</w:t>
            </w:r>
          </w:p>
          <w:p w:rsidR="00802F90" w:rsidRPr="0085358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6A21EC" w:rsidRPr="00155996">
              <w:rPr>
                <w:b/>
                <w:sz w:val="24"/>
                <w:szCs w:val="24"/>
              </w:rPr>
              <w:t>1</w:t>
            </w:r>
            <w:r w:rsidR="00F72EFD" w:rsidRPr="00155996">
              <w:rPr>
                <w:b/>
                <w:sz w:val="24"/>
                <w:szCs w:val="24"/>
              </w:rPr>
              <w:t>8</w:t>
            </w:r>
            <w:r w:rsidR="00862D27" w:rsidRPr="00155996">
              <w:rPr>
                <w:b/>
                <w:sz w:val="24"/>
                <w:szCs w:val="24"/>
              </w:rPr>
              <w:t xml:space="preserve"> </w:t>
            </w:r>
            <w:r w:rsidRPr="00155996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lastRenderedPageBreak/>
              <w:t>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3A300C" w:rsidRPr="003A300C">
                    <w:rPr>
                      <w:b/>
                      <w:sz w:val="24"/>
                      <w:szCs w:val="24"/>
                    </w:rPr>
                    <w:t xml:space="preserve">ЕЭТП </w:t>
                  </w:r>
                  <w:proofErr w:type="spellStart"/>
                  <w:r w:rsidR="003A300C" w:rsidRPr="003A300C">
                    <w:rPr>
                      <w:b/>
                      <w:sz w:val="24"/>
                      <w:szCs w:val="24"/>
                    </w:rPr>
                    <w:t>Росэлторг</w:t>
                  </w:r>
                  <w:proofErr w:type="spellEnd"/>
                  <w:r w:rsidR="003A300C" w:rsidRPr="003A300C">
                    <w:rPr>
                      <w:b/>
                      <w:sz w:val="24"/>
                      <w:szCs w:val="24"/>
                    </w:rPr>
                    <w:t xml:space="preserve"> https://roseltorg.ru/</w:t>
                  </w:r>
                  <w:r w:rsidR="00EC10C6">
                    <w:rPr>
                      <w:rStyle w:val="a4"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72EFD" w:rsidRPr="00F72EFD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  <w:r w:rsidR="00B35A29" w:rsidRPr="00F72EFD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F72EF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F72EFD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2EFD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3A300C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3A300C">
              <w:rPr>
                <w:b/>
                <w:bCs/>
                <w:sz w:val="24"/>
                <w:szCs w:val="24"/>
              </w:rPr>
              <w:t xml:space="preserve">ЕЭТП </w:t>
            </w:r>
            <w:proofErr w:type="spellStart"/>
            <w:r w:rsidRPr="003A300C">
              <w:rPr>
                <w:b/>
                <w:bCs/>
                <w:sz w:val="24"/>
                <w:szCs w:val="24"/>
              </w:rPr>
              <w:t>Росэлторг</w:t>
            </w:r>
            <w:proofErr w:type="spellEnd"/>
            <w:r w:rsidRPr="003A300C">
              <w:rPr>
                <w:b/>
                <w:bCs/>
                <w:sz w:val="24"/>
                <w:szCs w:val="24"/>
              </w:rPr>
              <w:t xml:space="preserve"> https://roseltorg.ru/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B35A29">
              <w:rPr>
                <w:b/>
              </w:rPr>
              <w:t>0</w:t>
            </w:r>
            <w:r w:rsidR="00F72EFD">
              <w:rPr>
                <w:b/>
              </w:rPr>
              <w:t>7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F72E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B35A29">
              <w:rPr>
                <w:b/>
              </w:rPr>
              <w:t>1</w:t>
            </w:r>
            <w:r w:rsidR="00F72EFD">
              <w:rPr>
                <w:b/>
              </w:rPr>
              <w:t>4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72E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B35A29">
              <w:rPr>
                <w:b/>
              </w:rPr>
              <w:t>1</w:t>
            </w:r>
            <w:r w:rsidR="00F72EFD">
              <w:rPr>
                <w:b/>
              </w:rPr>
              <w:t>5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72EF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B35A29">
              <w:rPr>
                <w:b/>
              </w:rPr>
              <w:t>1</w:t>
            </w:r>
            <w:r w:rsidR="00F72EFD">
              <w:rPr>
                <w:b/>
              </w:rPr>
              <w:t>8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7E5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1036-1E42-4BC8-BB49-8AB8A409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2022-07-08T09:01:00Z</cp:lastPrinted>
  <dcterms:created xsi:type="dcterms:W3CDTF">2024-03-06T03:44:00Z</dcterms:created>
  <dcterms:modified xsi:type="dcterms:W3CDTF">2024-03-07T01:57:00Z</dcterms:modified>
</cp:coreProperties>
</file>